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51" w:rsidRDefault="00200451" w:rsidP="00200451">
      <w:pPr>
        <w:jc w:val="right"/>
      </w:pPr>
    </w:p>
    <w:p w:rsidR="00200451" w:rsidRDefault="00200451" w:rsidP="00200451">
      <w:pPr>
        <w:jc w:val="right"/>
      </w:pPr>
    </w:p>
    <w:p w:rsidR="00BC5D2A" w:rsidRDefault="00BC5D2A" w:rsidP="005D13E0">
      <w:pPr>
        <w:tabs>
          <w:tab w:val="left" w:pos="426"/>
        </w:tabs>
        <w:spacing w:after="0" w:line="240" w:lineRule="auto"/>
        <w:jc w:val="right"/>
      </w:pPr>
    </w:p>
    <w:p w:rsidR="005D13E0" w:rsidRDefault="005D13E0" w:rsidP="005D13E0">
      <w:pPr>
        <w:tabs>
          <w:tab w:val="left" w:pos="426"/>
        </w:tabs>
        <w:spacing w:after="0" w:line="240" w:lineRule="auto"/>
        <w:jc w:val="right"/>
      </w:pPr>
      <w:r>
        <w:t xml:space="preserve">Wyszków, dnia  </w:t>
      </w:r>
      <w:r w:rsidR="00265B65">
        <w:t>23</w:t>
      </w:r>
      <w:r>
        <w:t>-05-2019 r.</w:t>
      </w:r>
    </w:p>
    <w:p w:rsidR="005D13E0" w:rsidRDefault="005D13E0" w:rsidP="005D13E0">
      <w:pPr>
        <w:tabs>
          <w:tab w:val="left" w:pos="426"/>
        </w:tabs>
        <w:spacing w:after="0" w:line="240" w:lineRule="auto"/>
        <w:jc w:val="right"/>
      </w:pPr>
    </w:p>
    <w:p w:rsidR="00BA0608" w:rsidRDefault="00BA0608" w:rsidP="005D13E0">
      <w:pPr>
        <w:tabs>
          <w:tab w:val="left" w:pos="426"/>
        </w:tabs>
        <w:spacing w:after="0" w:line="240" w:lineRule="auto"/>
      </w:pPr>
    </w:p>
    <w:p w:rsidR="00BA0608" w:rsidRDefault="00BA0608" w:rsidP="005D13E0">
      <w:pPr>
        <w:tabs>
          <w:tab w:val="left" w:pos="426"/>
        </w:tabs>
        <w:spacing w:after="0" w:line="240" w:lineRule="auto"/>
      </w:pPr>
    </w:p>
    <w:p w:rsidR="005D13E0" w:rsidRDefault="00BC5D2A" w:rsidP="005D13E0">
      <w:pPr>
        <w:tabs>
          <w:tab w:val="left" w:pos="426"/>
        </w:tabs>
        <w:spacing w:after="0" w:line="240" w:lineRule="auto"/>
      </w:pPr>
      <w:r>
        <w:t>ROZ-</w:t>
      </w:r>
      <w:r w:rsidR="005D13E0">
        <w:t>ZP.271.</w:t>
      </w:r>
      <w:r w:rsidR="00265B65">
        <w:rPr>
          <w:b/>
        </w:rPr>
        <w:t>21</w:t>
      </w:r>
      <w:r w:rsidR="00265B65">
        <w:t>.2019 - 1</w:t>
      </w:r>
    </w:p>
    <w:p w:rsidR="005D13E0" w:rsidRDefault="005D13E0" w:rsidP="005D13E0">
      <w:pPr>
        <w:tabs>
          <w:tab w:val="left" w:pos="426"/>
        </w:tabs>
        <w:spacing w:after="0" w:line="240" w:lineRule="auto"/>
      </w:pPr>
    </w:p>
    <w:p w:rsidR="005D13E0" w:rsidRPr="00BC5D2A" w:rsidRDefault="005D13E0" w:rsidP="005D13E0">
      <w:pPr>
        <w:tabs>
          <w:tab w:val="left" w:pos="426"/>
        </w:tabs>
        <w:spacing w:after="0"/>
        <w:ind w:firstLine="5245"/>
        <w:jc w:val="center"/>
        <w:rPr>
          <w:b/>
        </w:rPr>
      </w:pPr>
    </w:p>
    <w:p w:rsidR="005D13E0" w:rsidRPr="00BC5D2A" w:rsidRDefault="005D13E0" w:rsidP="005D13E0">
      <w:pPr>
        <w:tabs>
          <w:tab w:val="left" w:pos="426"/>
        </w:tabs>
        <w:spacing w:after="0"/>
      </w:pPr>
    </w:p>
    <w:p w:rsidR="005D13E0" w:rsidRDefault="005D13E0" w:rsidP="005D13E0">
      <w:pPr>
        <w:tabs>
          <w:tab w:val="left" w:pos="426"/>
        </w:tabs>
        <w:spacing w:after="0" w:line="240" w:lineRule="auto"/>
        <w:jc w:val="both"/>
        <w:rPr>
          <w:i/>
        </w:rPr>
      </w:pPr>
      <w:r w:rsidRPr="00336F7E">
        <w:rPr>
          <w:i/>
        </w:rPr>
        <w:t>dot. postępowania o udziel</w:t>
      </w:r>
      <w:r>
        <w:rPr>
          <w:i/>
        </w:rPr>
        <w:t xml:space="preserve">enie zamówienia publicznego pn. </w:t>
      </w:r>
      <w:r>
        <w:rPr>
          <w:b/>
          <w:i/>
        </w:rPr>
        <w:t xml:space="preserve">„Budowa boiska o nawierzchni żwirowej utwardzonej w Parku Ferdynanda Wazy w Wyszkowie </w:t>
      </w:r>
      <w:r w:rsidRPr="009820A8">
        <w:rPr>
          <w:i/>
        </w:rPr>
        <w:t>w ramach zadania</w:t>
      </w:r>
      <w:r>
        <w:rPr>
          <w:b/>
          <w:i/>
        </w:rPr>
        <w:t xml:space="preserve"> Poprawa jakości środowiska miejskiego poprzez stworzenie terenów zieleni w Wyszkowie” (</w:t>
      </w:r>
      <w:r w:rsidR="00265B65">
        <w:rPr>
          <w:b/>
          <w:i/>
        </w:rPr>
        <w:t>3</w:t>
      </w:r>
      <w:r>
        <w:rPr>
          <w:b/>
          <w:i/>
        </w:rPr>
        <w:t xml:space="preserve">) </w:t>
      </w:r>
      <w:r w:rsidRPr="00336F7E">
        <w:rPr>
          <w:i/>
        </w:rPr>
        <w:t xml:space="preserve">prowadzonego </w:t>
      </w:r>
      <w:r>
        <w:rPr>
          <w:i/>
        </w:rPr>
        <w:t xml:space="preserve"> </w:t>
      </w:r>
      <w:r w:rsidRPr="00336F7E">
        <w:rPr>
          <w:i/>
        </w:rPr>
        <w:t>w t</w:t>
      </w:r>
      <w:r>
        <w:rPr>
          <w:i/>
        </w:rPr>
        <w:t>rybie przetargu nieograniczonego.</w:t>
      </w:r>
      <w:r w:rsidRPr="00336F7E">
        <w:rPr>
          <w:i/>
        </w:rPr>
        <w:t xml:space="preserve"> </w:t>
      </w:r>
      <w:r>
        <w:rPr>
          <w:i/>
        </w:rPr>
        <w:t xml:space="preserve">              </w:t>
      </w:r>
    </w:p>
    <w:p w:rsidR="005D13E0" w:rsidRDefault="005D13E0" w:rsidP="005D13E0">
      <w:pPr>
        <w:tabs>
          <w:tab w:val="left" w:pos="426"/>
        </w:tabs>
        <w:spacing w:after="0" w:line="240" w:lineRule="auto"/>
        <w:jc w:val="both"/>
        <w:rPr>
          <w:i/>
        </w:rPr>
      </w:pPr>
    </w:p>
    <w:p w:rsidR="000E1942" w:rsidRDefault="000E1942" w:rsidP="005D13E0">
      <w:pPr>
        <w:tabs>
          <w:tab w:val="left" w:pos="426"/>
        </w:tabs>
        <w:spacing w:after="0" w:line="240" w:lineRule="auto"/>
        <w:jc w:val="center"/>
        <w:rPr>
          <w:b/>
          <w:i/>
        </w:rPr>
      </w:pPr>
    </w:p>
    <w:p w:rsidR="005D13E0" w:rsidRPr="00751604" w:rsidRDefault="004734ED" w:rsidP="005D13E0">
      <w:pPr>
        <w:tabs>
          <w:tab w:val="left" w:pos="426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INFORMACJA  O UNIEWAŻNIENIU POSTĘPOWANIA</w:t>
      </w:r>
    </w:p>
    <w:p w:rsidR="005D13E0" w:rsidRDefault="005D13E0" w:rsidP="005D13E0">
      <w:pPr>
        <w:tabs>
          <w:tab w:val="left" w:pos="426"/>
        </w:tabs>
        <w:spacing w:after="0" w:line="240" w:lineRule="auto"/>
        <w:jc w:val="both"/>
      </w:pPr>
    </w:p>
    <w:p w:rsidR="005D13E0" w:rsidRDefault="005D13E0" w:rsidP="005D13E0">
      <w:pPr>
        <w:tabs>
          <w:tab w:val="left" w:pos="426"/>
        </w:tabs>
        <w:spacing w:after="0" w:line="360" w:lineRule="auto"/>
        <w:jc w:val="both"/>
      </w:pPr>
      <w:r>
        <w:t xml:space="preserve">                   Zgodnie z art. </w:t>
      </w:r>
      <w:r w:rsidR="004734ED">
        <w:t>9</w:t>
      </w:r>
      <w:r w:rsidR="00265B65">
        <w:t>3</w:t>
      </w:r>
      <w:r w:rsidR="006A1C87">
        <w:t xml:space="preserve"> ust. 3 pkt 1</w:t>
      </w:r>
      <w:r w:rsidR="004734ED">
        <w:t xml:space="preserve"> </w:t>
      </w:r>
      <w:r>
        <w:t xml:space="preserve">ustawy z dnia 29 stycznia 2004 r.  Prawo zamówień publicznych (tekst. jedn. Dz. U. z 2018 r.  poz. 1986 ze zm.) zawiadamiam, że przedmiotowe postępowanie zostało unieważnione na podstawie art. 93 ust. 1 pkt </w:t>
      </w:r>
      <w:r w:rsidR="00265B65">
        <w:t>7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0E1942" w:rsidRDefault="005D13E0" w:rsidP="005D13E0">
      <w:pPr>
        <w:tabs>
          <w:tab w:val="left" w:pos="426"/>
        </w:tabs>
        <w:spacing w:after="0" w:line="360" w:lineRule="auto"/>
        <w:jc w:val="both"/>
      </w:pPr>
      <w:r w:rsidRPr="00854B2B">
        <w:rPr>
          <w:i/>
          <w:u w:val="single"/>
        </w:rPr>
        <w:t>Uzasadnienie faktyczne:</w:t>
      </w:r>
      <w:r w:rsidR="00265B65">
        <w:t xml:space="preserve"> </w:t>
      </w:r>
      <w:r w:rsidR="006A1C87">
        <w:t>Postępowanie obarczone jest niemożliwą do usunięcia wadą</w:t>
      </w:r>
      <w:r w:rsidR="000E1942">
        <w:t xml:space="preserve"> uniemożliwiającą zawarcie niepodlegającej unieważnieniu umowy w sprawie zamówienia publicznego.</w:t>
      </w:r>
    </w:p>
    <w:p w:rsidR="005D13E0" w:rsidRPr="00265B65" w:rsidRDefault="000E1942" w:rsidP="005D13E0">
      <w:pPr>
        <w:tabs>
          <w:tab w:val="left" w:pos="426"/>
        </w:tabs>
        <w:spacing w:after="0" w:line="360" w:lineRule="auto"/>
        <w:jc w:val="both"/>
      </w:pPr>
      <w:r>
        <w:t xml:space="preserve">Zamawiający omyłkowo zamieścił niewłaściwą Specyfikację Istotnych Warunków Zamówienia na stronie </w:t>
      </w:r>
      <w:r>
        <w:rPr>
          <w:rStyle w:val="st"/>
        </w:rPr>
        <w:t>Biuletynu Informacji Publicznej.</w:t>
      </w:r>
      <w:bookmarkStart w:id="0" w:name="_GoBack"/>
      <w:bookmarkEnd w:id="0"/>
    </w:p>
    <w:p w:rsidR="00200451" w:rsidRDefault="00200451" w:rsidP="00200451">
      <w:pPr>
        <w:jc w:val="both"/>
      </w:pPr>
    </w:p>
    <w:p w:rsidR="004734ED" w:rsidRPr="004734ED" w:rsidRDefault="004734ED" w:rsidP="004734ED">
      <w:pPr>
        <w:spacing w:after="0" w:line="240" w:lineRule="auto"/>
        <w:jc w:val="right"/>
        <w:rPr>
          <w:b/>
        </w:rPr>
      </w:pPr>
      <w:r w:rsidRPr="004734ED">
        <w:rPr>
          <w:b/>
        </w:rPr>
        <w:t>Burmistrz Wyszkowa</w:t>
      </w:r>
    </w:p>
    <w:p w:rsidR="004734ED" w:rsidRPr="004734ED" w:rsidRDefault="004734ED" w:rsidP="004734ED">
      <w:pPr>
        <w:spacing w:after="0" w:line="240" w:lineRule="auto"/>
        <w:jc w:val="right"/>
        <w:rPr>
          <w:b/>
        </w:rPr>
      </w:pPr>
      <w:r w:rsidRPr="004734ED">
        <w:rPr>
          <w:b/>
        </w:rPr>
        <w:t>Grzegorz Nowosielski</w:t>
      </w:r>
    </w:p>
    <w:p w:rsidR="00200451" w:rsidRDefault="00200451" w:rsidP="00200451">
      <w:pPr>
        <w:jc w:val="both"/>
      </w:pPr>
    </w:p>
    <w:p w:rsidR="00AB75F9" w:rsidRPr="00AB75F9" w:rsidRDefault="00AB75F9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5F9" w:rsidRDefault="00AB75F9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B5B" w:rsidRDefault="00BD7B5B" w:rsidP="00AB75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ADB" w:rsidRPr="00200451" w:rsidRDefault="00791ADB" w:rsidP="002004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791ADB" w:rsidRPr="00200451" w:rsidSect="007F3C1E">
      <w:footerReference w:type="default" r:id="rId10"/>
      <w:pgSz w:w="11906" w:h="16838"/>
      <w:pgMar w:top="19" w:right="1416" w:bottom="851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B" w:rsidRDefault="008E22DB" w:rsidP="00AD257F">
      <w:pPr>
        <w:spacing w:after="0" w:line="240" w:lineRule="auto"/>
      </w:pPr>
      <w:r>
        <w:separator/>
      </w:r>
    </w:p>
  </w:endnote>
  <w:endnote w:type="continuationSeparator" w:id="0">
    <w:p w:rsidR="008E22DB" w:rsidRDefault="008E22DB" w:rsidP="00A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18476A02" wp14:editId="06BA7DA3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3B727E74" wp14:editId="3269F05F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25374A40" wp14:editId="552835A4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after="0"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after="0"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029EBDDB" wp14:editId="1EE635E7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00AEB35E" wp14:editId="4923DC76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B" w:rsidRDefault="008E22DB" w:rsidP="00AD257F">
      <w:pPr>
        <w:spacing w:after="0" w:line="240" w:lineRule="auto"/>
      </w:pPr>
      <w:r>
        <w:separator/>
      </w:r>
    </w:p>
  </w:footnote>
  <w:footnote w:type="continuationSeparator" w:id="0">
    <w:p w:rsidR="008E22DB" w:rsidRDefault="008E22DB" w:rsidP="00A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9pt;height:540.75pt;visibility:visible;mso-wrap-style:square" o:bullet="t">
        <v:imagedata r:id="rId1" o:title="icon-157358_960_720[1]"/>
      </v:shape>
    </w:pict>
  </w:numPicBullet>
  <w:numPicBullet w:numPicBulletId="1">
    <w:pict>
      <v:shape id="_x0000_i1029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56256"/>
    <w:rsid w:val="000D5367"/>
    <w:rsid w:val="000E1942"/>
    <w:rsid w:val="0013319B"/>
    <w:rsid w:val="00150C8C"/>
    <w:rsid w:val="0018355F"/>
    <w:rsid w:val="001877AA"/>
    <w:rsid w:val="001C1F44"/>
    <w:rsid w:val="00200451"/>
    <w:rsid w:val="0022192F"/>
    <w:rsid w:val="00226BC6"/>
    <w:rsid w:val="00265B65"/>
    <w:rsid w:val="00267076"/>
    <w:rsid w:val="002F5EC4"/>
    <w:rsid w:val="002F7F8E"/>
    <w:rsid w:val="00302588"/>
    <w:rsid w:val="0032767A"/>
    <w:rsid w:val="003C4379"/>
    <w:rsid w:val="003E5862"/>
    <w:rsid w:val="00455C7D"/>
    <w:rsid w:val="004734ED"/>
    <w:rsid w:val="004B2BA7"/>
    <w:rsid w:val="004C79B8"/>
    <w:rsid w:val="004E3BEC"/>
    <w:rsid w:val="0053752C"/>
    <w:rsid w:val="005B3FB1"/>
    <w:rsid w:val="005B7781"/>
    <w:rsid w:val="005D13E0"/>
    <w:rsid w:val="006A1C87"/>
    <w:rsid w:val="006B0E3E"/>
    <w:rsid w:val="00734D83"/>
    <w:rsid w:val="00791ADB"/>
    <w:rsid w:val="007A7791"/>
    <w:rsid w:val="007F1F4B"/>
    <w:rsid w:val="007F3C1E"/>
    <w:rsid w:val="007F3D16"/>
    <w:rsid w:val="0082003E"/>
    <w:rsid w:val="00885342"/>
    <w:rsid w:val="008B47C3"/>
    <w:rsid w:val="008B7EE8"/>
    <w:rsid w:val="008C32F5"/>
    <w:rsid w:val="008E22DB"/>
    <w:rsid w:val="00A1274B"/>
    <w:rsid w:val="00A3658F"/>
    <w:rsid w:val="00AB75F9"/>
    <w:rsid w:val="00AD257F"/>
    <w:rsid w:val="00AD4DBF"/>
    <w:rsid w:val="00B63B1A"/>
    <w:rsid w:val="00B80FD3"/>
    <w:rsid w:val="00BA0608"/>
    <w:rsid w:val="00BC5D2A"/>
    <w:rsid w:val="00BD4E05"/>
    <w:rsid w:val="00BD7B5B"/>
    <w:rsid w:val="00BE1153"/>
    <w:rsid w:val="00BF0EA4"/>
    <w:rsid w:val="00C22A82"/>
    <w:rsid w:val="00C4315A"/>
    <w:rsid w:val="00C774EA"/>
    <w:rsid w:val="00C84FC3"/>
    <w:rsid w:val="00D471B5"/>
    <w:rsid w:val="00DC77F9"/>
    <w:rsid w:val="00DF3D90"/>
    <w:rsid w:val="00E039D9"/>
    <w:rsid w:val="00E1350B"/>
    <w:rsid w:val="00E172CE"/>
    <w:rsid w:val="00E81BDA"/>
    <w:rsid w:val="00F86113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character" w:customStyle="1" w:styleId="st">
    <w:name w:val="st"/>
    <w:basedOn w:val="Domylnaczcionkaakapitu"/>
    <w:rsid w:val="000E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character" w:customStyle="1" w:styleId="st">
    <w:name w:val="st"/>
    <w:basedOn w:val="Domylnaczcionkaakapitu"/>
    <w:rsid w:val="000E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38CD91-F206-481A-A652-9EF337B8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Marta Ludwikowska</cp:lastModifiedBy>
  <cp:revision>2</cp:revision>
  <cp:lastPrinted>2019-05-09T07:27:00Z</cp:lastPrinted>
  <dcterms:created xsi:type="dcterms:W3CDTF">2019-05-23T09:04:00Z</dcterms:created>
  <dcterms:modified xsi:type="dcterms:W3CDTF">2019-05-23T09:04:00Z</dcterms:modified>
</cp:coreProperties>
</file>